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after="240" w:line="360" w:lineRule="auto"/>
        <w:jc w:val="center"/>
        <w:rPr>
          <w:rFonts w:hint="eastAsia" w:ascii="黑体" w:hAnsi="黑体" w:eastAsia="黑体"/>
          <w:b/>
          <w:color w:val="000000"/>
          <w:sz w:val="44"/>
          <w:lang w:eastAsia="zh-CN"/>
        </w:rPr>
      </w:pPr>
      <w:r>
        <w:rPr>
          <w:rFonts w:hint="eastAsia" w:ascii="黑体" w:hAnsi="黑体" w:eastAsia="黑体"/>
          <w:b/>
          <w:color w:val="000000"/>
          <w:sz w:val="44"/>
          <w:lang w:eastAsia="zh-CN"/>
        </w:rPr>
        <w:t>江苏城市职业学院大学生创业园</w:t>
      </w:r>
    </w:p>
    <w:p>
      <w:pPr>
        <w:autoSpaceDN w:val="0"/>
        <w:spacing w:after="240" w:line="360" w:lineRule="auto"/>
        <w:jc w:val="center"/>
        <w:rPr>
          <w:rFonts w:ascii="宋体" w:hAnsi="宋体"/>
          <w:color w:val="000000"/>
          <w:sz w:val="19"/>
        </w:rPr>
      </w:pPr>
      <w:r>
        <w:rPr>
          <w:rFonts w:ascii="黑体" w:hAnsi="黑体" w:eastAsia="黑体"/>
          <w:b/>
          <w:color w:val="000000"/>
          <w:sz w:val="44"/>
        </w:rPr>
        <w:t>创业计划书模板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创业计划书没有统一模板,但一般大同小异。本模板仅供参考。</w:t>
      </w:r>
    </w:p>
    <w:p>
      <w:pPr>
        <w:autoSpaceDN w:val="0"/>
        <w:spacing w:line="500" w:lineRule="exact"/>
        <w:ind w:firstLine="562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b/>
          <w:color w:val="000000"/>
          <w:sz w:val="28"/>
        </w:rPr>
        <w:t>一、创业计划书的参考模板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(一)封页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主要文字内容: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XXX公司(XXX项目)创业计划书;X年X月X日;地址;邮政编码;联系人;电话;电子邮箱。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目录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摘要主要内容包括:公司简单描述;公司的宗旨和目标(市场目标和财务目标);公司股</w:t>
      </w:r>
      <w:bookmarkStart w:id="0" w:name="_GoBack"/>
      <w:bookmarkEnd w:id="0"/>
      <w:r>
        <w:rPr>
          <w:rFonts w:ascii="仿宋_GB2312" w:hAnsi="仿宋_GB2312" w:eastAsia="仿宋_GB2312"/>
          <w:color w:val="000000"/>
          <w:sz w:val="28"/>
        </w:rPr>
        <w:t>权结构;主要产品或服务介绍;市场概况和营销策略;核心团队情况;公司优势说明;融资方案(资金筹措及投资方式及退出方案);财务历史数据(前3—5年销售汇总、利润、成长)、财务预计(后3—5年)等财务分析。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(二)文本</w:t>
      </w:r>
    </w:p>
    <w:p>
      <w:pPr>
        <w:autoSpaceDN w:val="0"/>
        <w:spacing w:line="500" w:lineRule="exact"/>
        <w:ind w:firstLine="280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第一章 公司介绍</w:t>
      </w:r>
    </w:p>
    <w:p>
      <w:pPr>
        <w:autoSpaceDN w:val="0"/>
        <w:spacing w:line="500" w:lineRule="exact"/>
        <w:ind w:left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一、公司的宗旨(公司使命的表述)</w:t>
      </w:r>
    </w:p>
    <w:p>
      <w:pPr>
        <w:autoSpaceDN w:val="0"/>
        <w:spacing w:line="500" w:lineRule="exact"/>
        <w:ind w:left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二、公司简介资料</w:t>
      </w:r>
    </w:p>
    <w:p>
      <w:pPr>
        <w:autoSpaceDN w:val="0"/>
        <w:spacing w:line="500" w:lineRule="exact"/>
        <w:ind w:left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三、各部门职能和经营目标</w:t>
      </w:r>
    </w:p>
    <w:p>
      <w:pPr>
        <w:autoSpaceDN w:val="0"/>
        <w:spacing w:line="500" w:lineRule="exact"/>
        <w:ind w:left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四、公司管理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1、董事会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2、经营团队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3、外部支持(指导老师、支持单位、行业协会等)</w:t>
      </w:r>
    </w:p>
    <w:p>
      <w:pPr>
        <w:autoSpaceDN w:val="0"/>
        <w:spacing w:line="500" w:lineRule="exact"/>
        <w:ind w:firstLine="280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第二章 技术与产品</w:t>
      </w:r>
    </w:p>
    <w:p>
      <w:pPr>
        <w:autoSpaceDN w:val="0"/>
        <w:spacing w:line="500" w:lineRule="exact"/>
        <w:ind w:left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一、技术描述及技术支持有</w:t>
      </w:r>
    </w:p>
    <w:p>
      <w:pPr>
        <w:autoSpaceDN w:val="0"/>
        <w:spacing w:line="500" w:lineRule="exact"/>
        <w:ind w:left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二、产品概况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1、主要产品目录(分类、名称、规格、型号、价格等)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2、产品特性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3、正在开发、待开发产品简介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4、研发计划及时间表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5、知识产权策略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6、无形资产(商标、知识产权、专利等)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三、产品生产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1、资源及原材料供应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2、厂址和办公地址的确定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3、产品标准、质检和生产成本控制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4、包装与储运</w:t>
      </w:r>
    </w:p>
    <w:p>
      <w:pPr>
        <w:autoSpaceDN w:val="0"/>
        <w:spacing w:line="500" w:lineRule="exact"/>
        <w:ind w:firstLine="280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第三章 市场分析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一、市场规模、市场结构与划分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二、目标市场的设定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三、产品消费群体、消费方式、消费习惯及影响市场的主要因素分析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四、目前公司产品市场状况,产品所处市场发展阶段(空白、新开发、高成长、成熟饱和)产品排名及品牌状况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五、市场趋势预测和市场机会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六、行业政策</w:t>
      </w:r>
    </w:p>
    <w:p>
      <w:pPr>
        <w:autoSpaceDN w:val="0"/>
        <w:spacing w:line="500" w:lineRule="exact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 xml:space="preserve">                   第四章 竞争分析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一、有无行业垄断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二、从市场细分看竞争者市场份额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三、竞争对手情况:公司实力、产品情况(种类、价位、特点、包装、营销、市场占有率等)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四、竞争对手情况和市场变化分析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五、公司产品竞争优势</w:t>
      </w:r>
    </w:p>
    <w:p>
      <w:pPr>
        <w:tabs>
          <w:tab w:val="left" w:pos="2880"/>
        </w:tabs>
        <w:autoSpaceDN w:val="0"/>
        <w:spacing w:line="500" w:lineRule="exact"/>
        <w:ind w:firstLine="280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第五章 市场营销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一、概述营销计划(区域、方式、渠道、预估目标、份额)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二、销售政策的制定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三、销售渠道、方式、行销环节和售后服务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四、主要业务关系状况(代理商、经销商、直销商、零售商、加盟商等),各级资格认定标准政策(销售量、回款期限、付款方式、应收账款、货运方式、折扣政策等)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五、销售队伍情况及销售福利分配政策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六、促销和市场渗透(方式及安排、预算)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1、主要促销方式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2、广告/公关策略、媒体评估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七、产品价位方案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1、定价依据和价格结构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2、影响价格变化的因素和对策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八、销售资料统计和销售记录方式,销售周期的计算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九、市场开发规划,销售目标(近期、中期),销售预估(3~5年)销售额、占有率及计算</w:t>
      </w:r>
    </w:p>
    <w:p>
      <w:pPr>
        <w:autoSpaceDN w:val="0"/>
        <w:spacing w:line="500" w:lineRule="exact"/>
        <w:ind w:firstLine="280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第六章 投资说明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一、资金需求说明(用量、期限)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二、资金使用计划及进度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三、投资形式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四、资本结构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五、回报与偿还计划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六、吸纳投资后股权结构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七、股权成本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八、投资者介入公司管理之程度说明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九、报告(定期向投资者提供的报告和资金支出预算)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十、投资报酬与退出(股票上市、股权转让、股权回购、股利)</w:t>
      </w:r>
    </w:p>
    <w:p>
      <w:pPr>
        <w:autoSpaceDN w:val="0"/>
        <w:spacing w:line="500" w:lineRule="exact"/>
        <w:ind w:firstLine="280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 xml:space="preserve"> 第七章 风险分析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一、资源(原材料、供应商)风险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二、市场不确定性风险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三、研发风险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四、生产不确定性风险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五、成本控制风险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六、竞争风险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七、政策风险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八、财务风险(应收账款、坏账)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九、管理风险(含人事、人员流动等)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十、破产风险</w:t>
      </w:r>
    </w:p>
    <w:p>
      <w:pPr>
        <w:autoSpaceDN w:val="0"/>
        <w:spacing w:line="500" w:lineRule="exact"/>
        <w:ind w:firstLine="280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第八章 管理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一、公司组织结构及团队介绍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二、管理制度及劳动合同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三、人事计划(配备/招聘/培训/考核)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四、薪资、福利方案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五、股权分配和认股计划</w:t>
      </w:r>
    </w:p>
    <w:p>
      <w:pPr>
        <w:autoSpaceDN w:val="0"/>
        <w:spacing w:line="500" w:lineRule="exact"/>
        <w:ind w:firstLine="280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第九章 财务分析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一、财务分析说明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二、财务数据预测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1、销售收入明细表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2、成本费用明细表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3、薪金水平明细表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4、固定资产明细表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5、资产负债表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6、损益表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7、现金流量表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8、财务指标分析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三、反映财务盈利能力的指标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1、财务内部收益率(FIRR)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2、投资回收期(Pt)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3、财务净现值(FNPV)</w:t>
      </w:r>
    </w:p>
    <w:p>
      <w:pPr>
        <w:autoSpaceDN w:val="0"/>
        <w:spacing w:line="500" w:lineRule="exact"/>
        <w:ind w:firstLine="560"/>
        <w:rPr>
          <w:rFonts w:ascii="宋体" w:hAnsi="宋体"/>
          <w:color w:val="000000"/>
          <w:sz w:val="19"/>
        </w:rPr>
      </w:pPr>
      <w:r>
        <w:rPr>
          <w:rFonts w:ascii="仿宋_GB2312" w:hAnsi="仿宋_GB2312" w:eastAsia="仿宋_GB2312"/>
          <w:color w:val="000000"/>
          <w:sz w:val="28"/>
        </w:rPr>
        <w:t>4、投资利润率</w:t>
      </w:r>
    </w:p>
    <w:p>
      <w:pPr>
        <w:autoSpaceDN w:val="0"/>
        <w:spacing w:line="500" w:lineRule="exact"/>
        <w:ind w:firstLine="560"/>
        <w:rPr>
          <w:rFonts w:ascii="仿宋_GB2312" w:hAnsi="仿宋_GB2312" w:eastAsia="仿宋_GB2312"/>
          <w:color w:val="000000"/>
          <w:sz w:val="28"/>
        </w:rPr>
      </w:pPr>
      <w:r>
        <w:rPr>
          <w:rFonts w:ascii="仿宋_GB2312" w:hAnsi="仿宋_GB2312" w:eastAsia="仿宋_GB2312"/>
          <w:color w:val="000000"/>
          <w:sz w:val="28"/>
        </w:rPr>
        <w:t>(三)经营预测</w:t>
      </w:r>
    </w:p>
    <w:p>
      <w:pPr>
        <w:autoSpaceDN w:val="0"/>
        <w:spacing w:line="500" w:lineRule="exact"/>
        <w:ind w:firstLine="560"/>
      </w:pPr>
      <w:r>
        <w:rPr>
          <w:rFonts w:ascii="仿宋_GB2312" w:hAnsi="仿宋_GB2312" w:eastAsia="仿宋_GB2312"/>
          <w:color w:val="000000"/>
          <w:sz w:val="28"/>
        </w:rPr>
        <w:t>增资后3—5年公司销售数量、销售额、毛利率、成长率、投资报酬率预估及计算依据。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35580A"/>
    <w:rsid w:val="2E3558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2018-01-09T07:56:00Z</dcterms:created>
  <dc:creator>DIANDASZH</dc:creator>
  <cp:lastModifiedBy>DIANDASZH</cp:lastModifiedBy>
  <dcterms:modified xsi:type="dcterms:W3CDTF">2018-01-09T07:57:42Z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